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46D1C">
      <w:pPr>
        <w:tabs>
          <w:tab w:val="right" w:pos="8730"/>
        </w:tabs>
        <w:spacing w:line="580" w:lineRule="exact"/>
        <w:outlineLvl w:val="0"/>
        <w:rPr>
          <w:rFonts w:hint="eastAsia" w:ascii="黑体" w:hAnsi="黑体" w:eastAsia="黑体"/>
          <w:color w:val="000000"/>
          <w:szCs w:val="32"/>
          <w:lang w:val="en-US" w:eastAsia="zh-CN"/>
        </w:rPr>
      </w:pPr>
    </w:p>
    <w:p w14:paraId="619768D5">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4"/>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5E91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1E6B74F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742B638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40491888">
            <w:pPr>
              <w:spacing w:line="240" w:lineRule="exact"/>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试论媒体融合中的“重物轻人”现象</w:t>
            </w:r>
          </w:p>
        </w:tc>
        <w:tc>
          <w:tcPr>
            <w:tcW w:w="1819" w:type="dxa"/>
            <w:gridSpan w:val="2"/>
            <w:tcBorders>
              <w:tl2br w:val="nil"/>
              <w:tr2bl w:val="nil"/>
            </w:tcBorders>
            <w:vAlign w:val="center"/>
          </w:tcPr>
          <w:p w14:paraId="204E69F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5720C7A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25651CD9">
            <w:pPr>
              <w:spacing w:line="240" w:lineRule="exact"/>
              <w:ind w:firstLine="0" w:firstLineChars="0"/>
              <w:rPr>
                <w:rFonts w:hint="eastAsia" w:ascii="宋体" w:hAnsi="宋体" w:eastAsia="宋体" w:cs="宋体"/>
                <w:bCs w:val="0"/>
                <w:color w:val="000000"/>
                <w:sz w:val="24"/>
                <w:szCs w:val="24"/>
                <w:lang w:val="en-US" w:eastAsia="zh-CN"/>
              </w:rPr>
            </w:pPr>
            <w:r>
              <w:rPr>
                <w:rFonts w:hint="eastAsia" w:ascii="宋体" w:hAnsi="宋体" w:eastAsia="宋体" w:cs="宋体"/>
                <w:bCs w:val="0"/>
                <w:color w:val="000000"/>
                <w:sz w:val="24"/>
                <w:szCs w:val="24"/>
                <w:lang w:val="en-US" w:eastAsia="zh-CN"/>
              </w:rPr>
              <w:t>新闻研究</w:t>
            </w:r>
          </w:p>
        </w:tc>
      </w:tr>
      <w:tr w14:paraId="0684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073079A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4E31979A">
            <w:pPr>
              <w:spacing w:line="320" w:lineRule="exact"/>
              <w:jc w:val="center"/>
              <w:rPr>
                <w:rFonts w:hint="eastAsia" w:ascii="华文中宋" w:hAnsi="华文中宋" w:eastAsia="华文中宋"/>
                <w:color w:val="000000"/>
                <w:sz w:val="28"/>
              </w:rPr>
            </w:pPr>
          </w:p>
        </w:tc>
        <w:tc>
          <w:tcPr>
            <w:tcW w:w="3728" w:type="dxa"/>
            <w:gridSpan w:val="4"/>
            <w:vMerge w:val="restart"/>
            <w:tcBorders>
              <w:tl2br w:val="nil"/>
              <w:tr2bl w:val="nil"/>
            </w:tcBorders>
            <w:vAlign w:val="center"/>
          </w:tcPr>
          <w:p w14:paraId="500C0FFC">
            <w:pPr>
              <w:spacing w:line="24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5218字</w:t>
            </w:r>
          </w:p>
        </w:tc>
        <w:tc>
          <w:tcPr>
            <w:tcW w:w="1819" w:type="dxa"/>
            <w:gridSpan w:val="2"/>
            <w:tcBorders>
              <w:tl2br w:val="nil"/>
              <w:tr2bl w:val="nil"/>
            </w:tcBorders>
            <w:vAlign w:val="center"/>
          </w:tcPr>
          <w:p w14:paraId="6DCCD9B2">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5A463907">
            <w:pPr>
              <w:spacing w:line="240" w:lineRule="exact"/>
              <w:ind w:firstLine="0" w:firstLineChars="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新闻研究</w:t>
            </w:r>
          </w:p>
        </w:tc>
      </w:tr>
      <w:tr w14:paraId="03DF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51D2F84A">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33DFCB67">
            <w:pPr>
              <w:spacing w:line="380" w:lineRule="exact"/>
              <w:ind w:firstLine="560"/>
              <w:jc w:val="center"/>
              <w:rPr>
                <w:rFonts w:hint="eastAsia" w:ascii="宋体" w:hAnsi="宋体" w:eastAsia="宋体" w:cs="宋体"/>
                <w:color w:val="000000"/>
                <w:sz w:val="24"/>
                <w:szCs w:val="24"/>
              </w:rPr>
            </w:pPr>
          </w:p>
        </w:tc>
        <w:tc>
          <w:tcPr>
            <w:tcW w:w="1819" w:type="dxa"/>
            <w:gridSpan w:val="2"/>
            <w:tcBorders>
              <w:tl2br w:val="nil"/>
              <w:tr2bl w:val="nil"/>
            </w:tcBorders>
            <w:vAlign w:val="center"/>
          </w:tcPr>
          <w:p w14:paraId="0F6FAA00">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6DE1129E">
            <w:pPr>
              <w:spacing w:line="24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中文</w:t>
            </w:r>
          </w:p>
        </w:tc>
      </w:tr>
      <w:tr w14:paraId="7888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1B90EFCD">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837563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22187EE7">
            <w:pPr>
              <w:spacing w:line="24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何星辉</w:t>
            </w:r>
          </w:p>
        </w:tc>
        <w:tc>
          <w:tcPr>
            <w:tcW w:w="1819" w:type="dxa"/>
            <w:gridSpan w:val="2"/>
            <w:tcBorders>
              <w:tl2br w:val="nil"/>
              <w:tr2bl w:val="nil"/>
            </w:tcBorders>
            <w:vAlign w:val="center"/>
          </w:tcPr>
          <w:p w14:paraId="31D95961">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18750BCC">
            <w:pPr>
              <w:spacing w:line="240" w:lineRule="exact"/>
              <w:ind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赵英淑、陈朋、葛亮</w:t>
            </w:r>
          </w:p>
        </w:tc>
      </w:tr>
      <w:tr w14:paraId="4E10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15D7398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220A38C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6AF8CE6F">
            <w:pPr>
              <w:spacing w:line="260" w:lineRule="exact"/>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科技日报社</w:t>
            </w:r>
          </w:p>
        </w:tc>
        <w:tc>
          <w:tcPr>
            <w:tcW w:w="1819" w:type="dxa"/>
            <w:gridSpan w:val="2"/>
            <w:tcBorders>
              <w:tl2br w:val="nil"/>
              <w:tr2bl w:val="nil"/>
            </w:tcBorders>
            <w:vAlign w:val="center"/>
          </w:tcPr>
          <w:p w14:paraId="16FE5C9D">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5D008934">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3D52A652">
            <w:pPr>
              <w:spacing w:line="24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《全媒体探索》</w:t>
            </w:r>
          </w:p>
        </w:tc>
      </w:tr>
      <w:tr w14:paraId="58B01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6FFE511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7622BFF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6411234A">
            <w:pPr>
              <w:spacing w:line="260" w:lineRule="exact"/>
              <w:ind w:firstLine="0"/>
              <w:rPr>
                <w:rFonts w:hint="default" w:ascii="方正仿宋_GB2312" w:hAnsi="仿宋" w:eastAsia="方正仿宋_GB2312"/>
                <w:color w:val="000000"/>
                <w:szCs w:val="21"/>
                <w:lang w:val="en-US" w:eastAsia="zh-CN"/>
              </w:rPr>
            </w:pPr>
            <w:r>
              <w:rPr>
                <w:rFonts w:hint="eastAsia" w:ascii="宋体" w:hAnsi="宋体" w:eastAsia="宋体" w:cs="宋体"/>
                <w:color w:val="000000"/>
                <w:sz w:val="24"/>
                <w:szCs w:val="24"/>
                <w:highlight w:val="none"/>
                <w:lang w:val="en-US" w:eastAsia="zh-CN"/>
              </w:rPr>
              <w:t>2025.12 《融合纵深》栏目28页-30页</w:t>
            </w:r>
          </w:p>
        </w:tc>
        <w:tc>
          <w:tcPr>
            <w:tcW w:w="872" w:type="dxa"/>
            <w:tcBorders>
              <w:tl2br w:val="nil"/>
              <w:tr2bl w:val="nil"/>
            </w:tcBorders>
            <w:vAlign w:val="center"/>
          </w:tcPr>
          <w:p w14:paraId="53D0B25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1C30AF2C">
            <w:pPr>
              <w:spacing w:line="240" w:lineRule="exact"/>
              <w:ind w:firstLine="0" w:firstLineChars="0"/>
              <w:rPr>
                <w:rFonts w:hint="default" w:ascii="方正仿宋_GB2312" w:hAnsi="仿宋" w:eastAsia="方正仿宋_GB2312"/>
                <w:color w:val="000000"/>
                <w:szCs w:val="21"/>
                <w:lang w:val="en-US" w:eastAsia="zh-CN"/>
              </w:rPr>
            </w:pPr>
            <w:r>
              <w:rPr>
                <w:rFonts w:hint="eastAsia" w:ascii="宋体" w:hAnsi="宋体" w:eastAsia="宋体" w:cs="宋体"/>
                <w:bCs w:val="0"/>
                <w:color w:val="000000"/>
                <w:sz w:val="24"/>
                <w:szCs w:val="24"/>
                <w:lang w:val="en-US" w:eastAsia="zh-CN"/>
              </w:rPr>
              <w:t>2025年12月</w:t>
            </w:r>
          </w:p>
        </w:tc>
      </w:tr>
      <w:tr w14:paraId="0C82C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287E7538">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29DFA7E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45FC29B7">
            <w:pPr>
              <w:spacing w:line="240" w:lineRule="exact"/>
              <w:ind w:firstLine="0" w:firstLineChars="0"/>
              <w:jc w:val="left"/>
              <w:rPr>
                <w:rFonts w:hint="eastAsia" w:ascii="华文中宋" w:hAnsi="华文中宋" w:eastAsia="华文中宋"/>
                <w:color w:val="000000"/>
                <w:sz w:val="28"/>
              </w:rPr>
            </w:pPr>
            <w:r>
              <w:rPr>
                <w:rFonts w:hint="eastAsia" w:ascii="宋体" w:hAnsi="宋体" w:eastAsia="宋体" w:cs="宋体"/>
                <w:color w:val="000000"/>
                <w:sz w:val="24"/>
                <w:szCs w:val="24"/>
              </w:rPr>
              <w:t>https://kns.cnki.net/kcms2/article/abstract?v=5e51ekeyRJbl4nyOMLrdaoTzfhr_hUYYecgJ0buun0F47lCX1DOZ1ztAadPHcF8Mt-Ye3fhdH9fr2AdioA02KUw1zTmCmqT_VPvGEtuuak7Py5d32qE9lU5DWBlotJ8lsbCoaXWQw2yeGHz9oBP4-atKaI-L2XDNlVOcvCR-TI8p2PhnxBQ7sw==&amp;uniplatform=NZKPT&amp;language=CHS</w:t>
            </w:r>
          </w:p>
        </w:tc>
        <w:tc>
          <w:tcPr>
            <w:tcW w:w="1742" w:type="dxa"/>
            <w:gridSpan w:val="2"/>
            <w:tcBorders>
              <w:tl2br w:val="nil"/>
              <w:tr2bl w:val="nil"/>
            </w:tcBorders>
            <w:vAlign w:val="center"/>
          </w:tcPr>
          <w:p w14:paraId="1877864C">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1463E514">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227D0376">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55818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43E9312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E3A751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05225508">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08EC0AB5">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45F46D02">
            <w:pPr>
              <w:keepNext w:val="0"/>
              <w:keepLines w:val="0"/>
              <w:pageBreakBefore w:val="0"/>
              <w:widowControl w:val="0"/>
              <w:kinsoku/>
              <w:wordWrap/>
              <w:overflowPunct/>
              <w:topLinePunct w:val="0"/>
              <w:autoSpaceDE/>
              <w:autoSpaceDN/>
              <w:bidi w:val="0"/>
              <w:adjustRightInd/>
              <w:snapToGrid/>
              <w:spacing w:line="360" w:lineRule="exact"/>
              <w:ind w:firstLine="456" w:firstLineChars="200"/>
              <w:textAlignment w:val="auto"/>
              <w:rPr>
                <w:rFonts w:hint="eastAsia" w:ascii="宋体" w:hAnsi="宋体" w:eastAsia="宋体" w:cs="宋体"/>
                <w:color w:val="000000"/>
                <w:w w:val="95"/>
                <w:sz w:val="24"/>
                <w:szCs w:val="24"/>
              </w:rPr>
            </w:pPr>
            <w:r>
              <w:rPr>
                <w:rFonts w:hint="eastAsia" w:ascii="宋体" w:hAnsi="宋体" w:eastAsia="宋体" w:cs="宋体"/>
                <w:color w:val="000000"/>
                <w:w w:val="95"/>
                <w:sz w:val="24"/>
                <w:szCs w:val="24"/>
              </w:rPr>
              <w:t>该论文根植于作者长期扎根新闻采编一线的深度观察与思考，以主流媒体深度融合进程中的“重物轻人”现象为研究对象，敏锐捕捉到行业转型中一个长期被忽视却具有根本性影响的结构性矛盾，选题兼具理论前沿性与现实紧迫性。</w:t>
            </w:r>
          </w:p>
          <w:p w14:paraId="3D6C81AB">
            <w:pPr>
              <w:keepNext w:val="0"/>
              <w:keepLines w:val="0"/>
              <w:pageBreakBefore w:val="0"/>
              <w:widowControl w:val="0"/>
              <w:kinsoku/>
              <w:wordWrap/>
              <w:overflowPunct/>
              <w:topLinePunct w:val="0"/>
              <w:autoSpaceDE/>
              <w:autoSpaceDN/>
              <w:bidi w:val="0"/>
              <w:adjustRightInd/>
              <w:snapToGrid/>
              <w:spacing w:line="360" w:lineRule="exact"/>
              <w:ind w:firstLine="456" w:firstLineChars="200"/>
              <w:textAlignment w:val="auto"/>
              <w:rPr>
                <w:rFonts w:hint="eastAsia" w:ascii="宋体" w:hAnsi="宋体" w:eastAsia="宋体" w:cs="宋体"/>
                <w:color w:val="000000"/>
                <w:w w:val="95"/>
                <w:sz w:val="24"/>
                <w:szCs w:val="24"/>
              </w:rPr>
            </w:pPr>
            <w:r>
              <w:rPr>
                <w:rFonts w:hint="eastAsia" w:ascii="宋体" w:hAnsi="宋体" w:eastAsia="宋体" w:cs="宋体"/>
                <w:color w:val="000000"/>
                <w:w w:val="95"/>
                <w:sz w:val="24"/>
                <w:szCs w:val="24"/>
              </w:rPr>
              <w:t>文章突破了媒体融合研究惯常的技术中心主义范式，鲜明提出“人是融合核心要素”的论断，理论视角独到。在论证层面，作者从历史资源配置失衡、短期主义决策偏好、评价机制失能与技术生态变迁四个维度系统剖析成因，逻辑链条清晰，论据翔实有力。尤其是对“内容空心化”“舆论引导角色弱化”“人才生态断层”等深层影响的剖析，切中行业积弊，展现出作者对新闻生产一线的深刻洞察。文末提出的确立人才优先战略、重构评价激励体系、构建“人—技术—内容”良性互动格局等对策建议，既有战略高度又具实操价值。全文论述语言兼具学理严谨性与新闻人的现实关怀，直面行业真问题、提供解题真思路。</w:t>
            </w:r>
          </w:p>
          <w:p w14:paraId="54904869">
            <w:pPr>
              <w:keepNext w:val="0"/>
              <w:keepLines w:val="0"/>
              <w:pageBreakBefore w:val="0"/>
              <w:widowControl w:val="0"/>
              <w:kinsoku/>
              <w:wordWrap/>
              <w:overflowPunct/>
              <w:topLinePunct w:val="0"/>
              <w:autoSpaceDE/>
              <w:autoSpaceDN/>
              <w:bidi w:val="0"/>
              <w:adjustRightInd/>
              <w:snapToGrid/>
              <w:spacing w:line="360" w:lineRule="exact"/>
              <w:ind w:firstLine="456" w:firstLineChars="200"/>
              <w:textAlignment w:val="auto"/>
              <w:rPr>
                <w:rFonts w:hint="eastAsia" w:ascii="仿宋" w:hAnsi="仿宋" w:eastAsia="仿宋"/>
                <w:color w:val="000000"/>
                <w:w w:val="95"/>
                <w:sz w:val="21"/>
                <w:szCs w:val="21"/>
              </w:rPr>
            </w:pPr>
            <w:r>
              <w:rPr>
                <w:rFonts w:hint="eastAsia" w:ascii="宋体" w:hAnsi="宋体" w:eastAsia="宋体" w:cs="宋体"/>
                <w:color w:val="000000"/>
                <w:w w:val="95"/>
                <w:sz w:val="24"/>
                <w:szCs w:val="24"/>
              </w:rPr>
              <w:t>该论文刊发后，在新闻业界与学界迅速引发广泛关注与积极反响，腾讯网、新京报、传媒茶话会等媒体关注跟进。论文为媒体融合研究开辟了人本主义的新视角，其揭示的“重物轻人”问题更引发了关于主流媒体转型路径的关注和讨论，推动主管部门对媒体人才建设问题的政策关注，促进了媒体融合实践从“技术驱动”向“人才驱动”的理念转变。</w:t>
            </w:r>
          </w:p>
        </w:tc>
      </w:tr>
      <w:tr w14:paraId="4647C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48295374">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74016E9B">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4E46B588">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3D0044C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32C5B1D9">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3559B4F8">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6DA132A9">
            <w:pPr>
              <w:spacing w:line="280" w:lineRule="exact"/>
              <w:rPr>
                <w:rFonts w:hint="eastAsia" w:ascii="仿宋" w:hAnsi="仿宋" w:eastAsia="仿宋"/>
                <w:color w:val="000000"/>
                <w:szCs w:val="21"/>
              </w:rPr>
            </w:pPr>
            <w:r>
              <w:rPr>
                <w:rFonts w:hint="eastAsia" w:ascii="宋体" w:hAnsi="宋体" w:eastAsia="宋体" w:cs="宋体"/>
                <w:color w:val="000000"/>
                <w:sz w:val="24"/>
                <w:szCs w:val="24"/>
              </w:rPr>
              <w:t>https://weibo.com/6407443158/QpaB98YGp</w:t>
            </w:r>
          </w:p>
        </w:tc>
      </w:tr>
      <w:tr w14:paraId="6E2B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1F72AE60">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386E9F3D">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4F671CD5">
            <w:pPr>
              <w:spacing w:line="240" w:lineRule="exact"/>
              <w:jc w:val="center"/>
              <w:rPr>
                <w:rFonts w:hint="default" w:ascii="仿宋" w:hAnsi="仿宋" w:eastAsia="楷体" w:cs="宋体"/>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51541AF1">
            <w:pPr>
              <w:spacing w:line="240" w:lineRule="exact"/>
              <w:rPr>
                <w:rFonts w:hint="eastAsia" w:ascii="仿宋" w:hAnsi="仿宋" w:eastAsia="仿宋" w:cs="宋体"/>
                <w:color w:val="000000"/>
                <w:kern w:val="2"/>
                <w:sz w:val="21"/>
                <w:szCs w:val="21"/>
                <w:lang w:val="en-US" w:eastAsia="zh-CN" w:bidi="ar-SA"/>
              </w:rPr>
            </w:pPr>
            <w:r>
              <w:rPr>
                <w:rFonts w:hint="eastAsia" w:ascii="仿宋" w:hAnsi="仿宋" w:eastAsia="仿宋" w:cs="宋体"/>
                <w:color w:val="000000"/>
                <w:kern w:val="2"/>
                <w:sz w:val="21"/>
                <w:szCs w:val="21"/>
                <w:lang w:val="en-US" w:eastAsia="zh-CN" w:bidi="ar-SA"/>
              </w:rPr>
              <w:t>80万+</w:t>
            </w:r>
          </w:p>
        </w:tc>
        <w:tc>
          <w:tcPr>
            <w:tcW w:w="1005" w:type="dxa"/>
            <w:tcBorders>
              <w:tl2br w:val="nil"/>
              <w:tr2bl w:val="nil"/>
            </w:tcBorders>
            <w:shd w:val="clear" w:color="auto" w:fill="auto"/>
            <w:vAlign w:val="center"/>
          </w:tcPr>
          <w:p w14:paraId="4F1309BA">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3FDE878A">
            <w:pPr>
              <w:spacing w:line="240" w:lineRule="exact"/>
              <w:jc w:val="center"/>
              <w:rPr>
                <w:rFonts w:hint="default" w:ascii="仿宋" w:hAnsi="仿宋" w:eastAsia="仿宋" w:cs="宋体"/>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4229E68D">
            <w:pPr>
              <w:spacing w:line="240" w:lineRule="exact"/>
              <w:rPr>
                <w:rFonts w:hint="default" w:ascii="仿宋" w:hAnsi="仿宋" w:eastAsia="仿宋"/>
                <w:color w:val="000000"/>
                <w:sz w:val="21"/>
                <w:szCs w:val="21"/>
                <w:lang w:val="en-US" w:eastAsia="zh-CN"/>
              </w:rPr>
            </w:pPr>
          </w:p>
        </w:tc>
        <w:tc>
          <w:tcPr>
            <w:tcW w:w="1122" w:type="dxa"/>
            <w:tcBorders>
              <w:tl2br w:val="nil"/>
              <w:tr2bl w:val="nil"/>
            </w:tcBorders>
            <w:vAlign w:val="center"/>
          </w:tcPr>
          <w:p w14:paraId="2BC3A371">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7E8B1589">
            <w:pPr>
              <w:spacing w:line="240" w:lineRule="exact"/>
              <w:rPr>
                <w:rFonts w:hint="eastAsia" w:ascii="仿宋" w:hAnsi="仿宋" w:eastAsia="仿宋"/>
                <w:color w:val="000000"/>
                <w:sz w:val="21"/>
                <w:szCs w:val="21"/>
              </w:rPr>
            </w:pPr>
            <w:r>
              <w:rPr>
                <w:rFonts w:hint="eastAsia" w:ascii="仿宋" w:hAnsi="仿宋" w:eastAsia="仿宋"/>
                <w:color w:val="000000"/>
                <w:sz w:val="21"/>
                <w:szCs w:val="21"/>
                <w:lang w:val="en-US" w:eastAsia="zh-CN"/>
              </w:rPr>
              <w:t>137</w:t>
            </w:r>
          </w:p>
        </w:tc>
      </w:tr>
      <w:tr w14:paraId="46E88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2" w:hRule="exact"/>
        </w:trPr>
        <w:tc>
          <w:tcPr>
            <w:tcW w:w="992" w:type="dxa"/>
            <w:tcBorders>
              <w:tl2br w:val="nil"/>
              <w:tr2bl w:val="nil"/>
            </w:tcBorders>
            <w:vAlign w:val="center"/>
          </w:tcPr>
          <w:p w14:paraId="5996213D">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635B0675">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663038E9">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631522C2">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58DA3B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45E85824">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31B46127">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rPr>
                <w:rFonts w:hint="eastAsia" w:ascii="宋体" w:hAnsi="宋体" w:eastAsia="宋体" w:cs="宋体"/>
                <w:color w:val="000000"/>
                <w:w w:val="95"/>
                <w:sz w:val="24"/>
                <w:szCs w:val="24"/>
              </w:rPr>
            </w:pPr>
            <w:r>
              <w:rPr>
                <w:rFonts w:hint="eastAsia" w:ascii="仿宋" w:hAnsi="仿宋" w:eastAsia="仿宋" w:cs="仿宋"/>
                <w:color w:val="000000"/>
                <w:spacing w:val="-2"/>
                <w:sz w:val="21"/>
                <w:szCs w:val="21"/>
              </w:rPr>
              <w:t xml:space="preserve">   </w:t>
            </w:r>
            <w:r>
              <w:rPr>
                <w:rFonts w:hint="eastAsia" w:ascii="宋体" w:hAnsi="宋体" w:eastAsia="宋体" w:cs="宋体"/>
                <w:color w:val="000000"/>
                <w:w w:val="95"/>
                <w:sz w:val="24"/>
                <w:szCs w:val="24"/>
              </w:rPr>
              <w:t xml:space="preserve"> </w:t>
            </w:r>
          </w:p>
          <w:p w14:paraId="47D5A2B3">
            <w:pPr>
              <w:keepNext w:val="0"/>
              <w:keepLines w:val="0"/>
              <w:pageBreakBefore w:val="0"/>
              <w:widowControl w:val="0"/>
              <w:kinsoku/>
              <w:wordWrap/>
              <w:overflowPunct/>
              <w:topLinePunct w:val="0"/>
              <w:autoSpaceDE/>
              <w:autoSpaceDN/>
              <w:bidi w:val="0"/>
              <w:adjustRightInd/>
              <w:snapToGrid/>
              <w:spacing w:line="360" w:lineRule="exact"/>
              <w:ind w:firstLine="456" w:firstLineChars="200"/>
              <w:textAlignment w:val="auto"/>
              <w:rPr>
                <w:rFonts w:hint="eastAsia" w:ascii="宋体" w:hAnsi="宋体" w:eastAsia="宋体" w:cs="宋体"/>
                <w:color w:val="000000"/>
                <w:w w:val="95"/>
                <w:sz w:val="24"/>
                <w:szCs w:val="24"/>
              </w:rPr>
            </w:pPr>
            <w:r>
              <w:rPr>
                <w:rFonts w:hint="eastAsia" w:ascii="宋体" w:hAnsi="宋体" w:eastAsia="宋体" w:cs="宋体"/>
                <w:color w:val="000000"/>
                <w:w w:val="95"/>
                <w:sz w:val="24"/>
                <w:szCs w:val="24"/>
                <w:lang w:val="en-US" w:eastAsia="zh-CN"/>
              </w:rPr>
              <w:t>这篇论文共有三个特点</w:t>
            </w:r>
            <w:r>
              <w:rPr>
                <w:rFonts w:hint="eastAsia" w:ascii="宋体" w:hAnsi="宋体" w:eastAsia="宋体" w:cs="宋体"/>
                <w:color w:val="000000"/>
                <w:w w:val="95"/>
                <w:sz w:val="24"/>
                <w:szCs w:val="24"/>
              </w:rPr>
              <w:t>。其一，政治站位高，问题导向鲜明。论文以巩固壮大主流舆论阵地为落脚点，深刻揭示媒体融合偏离人本价值可能带来的舆论引导力弱化风险，体现了强烈的政治意识与责任担当。其二，理论创新突出，行业引领价值显著。论文原创性地提出并系统阐释了“重物轻人”这一概念，构建了“现象描述—成因剖析—影响评估—对策建构”的完整分析框架，为主流媒体破解融合深水区难题提供了可复制、可推广的理论工具与实践路径，填补了该领域研究的薄弱环节。其三，文本品质优良，示范效应凸显。全文结构谨严，观点鲜明，论述精当，既是一篇高质量的学术论文，也是新闻业务写作的优良范本。</w:t>
            </w:r>
            <w:bookmarkStart w:id="0" w:name="_GoBack"/>
            <w:bookmarkEnd w:id="0"/>
          </w:p>
          <w:p w14:paraId="5F8AA8E5">
            <w:pPr>
              <w:spacing w:line="240" w:lineRule="exact"/>
              <w:ind w:firstLine="552" w:firstLineChars="200"/>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FDABD9D">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签名</w:t>
            </w:r>
          </w:p>
          <w:p w14:paraId="3BAE2FE3">
            <w:pPr>
              <w:spacing w:line="360" w:lineRule="exact"/>
              <w:ind w:firstLine="6160" w:firstLineChars="2200"/>
              <w:rPr>
                <w:rFonts w:hint="eastAsia" w:ascii="华文中宋" w:hAnsi="华文中宋" w:eastAsia="华文中宋"/>
                <w:color w:val="000000"/>
                <w:sz w:val="28"/>
              </w:rPr>
            </w:pP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24C9F79">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53B68DAB">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0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B3128">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5686A"/>
    <w:rsid w:val="119C1B0D"/>
    <w:rsid w:val="11E154FD"/>
    <w:rsid w:val="1C3F23FD"/>
    <w:rsid w:val="27746F46"/>
    <w:rsid w:val="30B8257C"/>
    <w:rsid w:val="48DE2DD4"/>
    <w:rsid w:val="57610340"/>
    <w:rsid w:val="59815832"/>
    <w:rsid w:val="6A956507"/>
    <w:rsid w:val="6B2A7F6E"/>
    <w:rsid w:val="71F75E09"/>
    <w:rsid w:val="7EB3365E"/>
    <w:rsid w:val="7F2C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2312" w:cs="宋体"/>
      <w:kern w:val="2"/>
      <w:sz w:val="32"/>
      <w:szCs w:val="22"/>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3"/>
    <w:basedOn w:val="1"/>
    <w:qFormat/>
    <w:uiPriority w:val="99"/>
    <w:pPr>
      <w:spacing w:after="120"/>
    </w:pPr>
    <w:rPr>
      <w:sz w:val="16"/>
      <w:szCs w:val="16"/>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1069</Words>
  <Characters>1385</Characters>
  <Paragraphs>128</Paragraphs>
  <TotalTime>2</TotalTime>
  <ScaleCrop>false</ScaleCrop>
  <LinksUpToDate>false</LinksUpToDate>
  <CharactersWithSpaces>1489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Administrator</cp:lastModifiedBy>
  <cp:lastPrinted>2026-04-29T02:07:00Z</cp:lastPrinted>
  <dcterms:modified xsi:type="dcterms:W3CDTF">2026-04-29T06:34:25Z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eyJoZGlkIjoiZThmMzUxZjI0MjUzNTBjMmQ0MzZlMTQ3MzA1MzJmMGYifQ==</vt:lpwstr>
  </property>
  <property fmtid="{D5CDD505-2E9C-101B-9397-08002B2CF9AE}" pid="4" name="ICV">
    <vt:lpwstr>1D06E1439F0F4430817170CC70190440_13</vt:lpwstr>
  </property>
</Properties>
</file>